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54431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val="en-US" w:eastAsia="zh-CN"/>
        </w:rPr>
        <w:t>4</w:t>
      </w:r>
    </w:p>
    <w:p w14:paraId="1A18DF0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“雨”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见花季・</w:t>
      </w:r>
      <w:r>
        <w:rPr>
          <w:rFonts w:hint="eastAsia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“宿”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来雨花</w:t>
      </w:r>
    </w:p>
    <w:p w14:paraId="18F0521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val="en-US" w:eastAsia="zh-CN"/>
        </w:rPr>
        <w:t>雨花台区毕业季住宿促消费活动方案</w:t>
      </w:r>
    </w:p>
    <w:p w14:paraId="76D10EE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color w:val="auto"/>
          <w:kern w:val="2"/>
          <w:sz w:val="44"/>
          <w:szCs w:val="44"/>
          <w:highlight w:val="none"/>
          <w:lang w:eastAsia="zh-CN"/>
        </w:rPr>
      </w:pPr>
    </w:p>
    <w:p w14:paraId="050C7732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组办单位</w:t>
      </w:r>
    </w:p>
    <w:p w14:paraId="72DF850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 w:bidi="ar-SA"/>
        </w:rPr>
        <w:t>雨花台区商务局</w:t>
      </w:r>
    </w:p>
    <w:p w14:paraId="0588CE5E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活动时间</w:t>
      </w:r>
    </w:p>
    <w:p w14:paraId="7DDEAFB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拟于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2026年8月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日启动，先到先得，用完即止。</w:t>
      </w:r>
    </w:p>
    <w:p w14:paraId="2DDB49E9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活动商户</w:t>
      </w:r>
    </w:p>
    <w:p w14:paraId="5D1CA33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lang w:val="en-US" w:eastAsia="zh-CN" w:bidi="ar-SA"/>
        </w:rPr>
        <w:t>参与活动的商户通过公开征集、自愿报名、属地初审、区级审核的方式产生。商户按公告要求向经营地所属街道提交报名材料，经街道初审后汇总报送区商务局复核。</w:t>
      </w:r>
    </w:p>
    <w:p w14:paraId="2A3E290D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活动平台</w:t>
      </w:r>
    </w:p>
    <w:p w14:paraId="51F5859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拟通过评审会确定1家发放机构。</w:t>
      </w:r>
    </w:p>
    <w:p w14:paraId="42863571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活动预算</w:t>
      </w:r>
    </w:p>
    <w:p w14:paraId="6CD0596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人民币300万元（大写：叁佰万元整）。</w:t>
      </w:r>
    </w:p>
    <w:p w14:paraId="306F894B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活动内容</w:t>
      </w:r>
    </w:p>
    <w:p w14:paraId="7D326DD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1.发放方式</w:t>
      </w:r>
    </w:p>
    <w:p w14:paraId="7C7061C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发放方式：待评审确定发放机构后，依托该机构平台搭建雨花台区暑期酒店住宿消费券专题页面，联动主流线上文旅平台，消费者领取优惠券后，在线上预订酒店支付时可直接抵扣，享受优惠。</w:t>
      </w:r>
    </w:p>
    <w:p w14:paraId="5AA59C0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2.档位设计</w:t>
      </w:r>
    </w:p>
    <w:p w14:paraId="3E1C01C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雨花台住宿消费券共设四种满减面额，满300元减30元、满600元减60元、满900元减90元、满1200元减120元。</w:t>
      </w:r>
    </w:p>
    <w:p w14:paraId="3AC393E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使用规则</w:t>
      </w:r>
    </w:p>
    <w:p w14:paraId="72E3111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1）活动期间，单一用户单次每个档位消费券限领1张。消费券领取后72小时内有效，逾期未使用则自动失效。单一用户单次或单笔订单限使用1张消费券，用户根据消费金额自行选定相应档位的消费券（或系统自动适配），消费券一经使用无法撤回。</w:t>
      </w:r>
    </w:p>
    <w:p w14:paraId="0C7048B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该用户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单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张消费券使用后，已领取的其他档位消费券</w:t>
      </w:r>
      <w:r>
        <w:rPr>
          <w:rFonts w:hint="eastAsia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自动</w:t>
      </w: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失效。72小时后，消费券领取权益恢复。</w:t>
      </w:r>
    </w:p>
    <w:p w14:paraId="0035B3F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活动期内，单一用户领取消费券不受次数限制，直至活动结束或预算用尽。</w:t>
      </w:r>
    </w:p>
    <w:p w14:paraId="4A8CDB7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（2）雨花台住宿消费券不可兑换现金、不设找零，亦不得用于兑换活动商户店内各类型的储值卡、预付卡或代金券。</w:t>
      </w:r>
    </w:p>
    <w:p w14:paraId="7D5955F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（3）</w:t>
      </w: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参加活动的商户使用政府消费券核销的订单，不支持部分退款。如确需退款的，须由商户与消费者协商一致后，通过平台发起全额退款申请。订单全额退款后，该自然日内不得再次领取。</w:t>
      </w:r>
    </w:p>
    <w:p w14:paraId="3B78CEB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★参加活动的商户须在消费者使用消费券前，主动告知退款规则，确保消费者知情权。</w:t>
      </w:r>
    </w:p>
    <w:p w14:paraId="515BA3D3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违规处理</w:t>
      </w:r>
    </w:p>
    <w:p w14:paraId="61BA0DD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1.商户</w:t>
      </w:r>
    </w:p>
    <w:p w14:paraId="638E004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1.1违规情形</w:t>
      </w:r>
    </w:p>
    <w:p w14:paraId="5650670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商户存在以下行为之一的，构成违规：（1）提供虚假交易、伪造消费记录或通过其他不正当手段套取活动补贴；（2）与消费者串通，虚构交易享受优惠；（3）擅自提高商品或服务原价后再参与满减，变相抵消优惠效果；（4）拒绝消费者合理使用消费券，或设置不合理限制条件；（5）将消费券优惠用于兑换储值卡、预付卡、代金券等非即时消费场景；（6）拒绝配合审计、核查或提供虚假资料。</w:t>
      </w:r>
    </w:p>
    <w:p w14:paraId="0333FD7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1.2处理措施</w:t>
      </w:r>
    </w:p>
    <w:p w14:paraId="5CB76EA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区商务局或第三方服务平台发现商户存在上述违规情形的，有权采取以下一项或多项措施：（1）立即暂停该商户参与本次活动；（2）终止该商户参与本次活动及后续同类活动的资格；（3）要求商户在收到书面通知后10个工作日内，全额返还已拨付的全部补贴资金；（4）将商户违规行为及信息报送相关市场监管部门或信用信息平台；（5）涉嫌违法犯罪的，移送公安部门处理。</w:t>
      </w:r>
    </w:p>
    <w:p w14:paraId="7D50356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2.消费者</w:t>
      </w:r>
    </w:p>
    <w:p w14:paraId="218DD3A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2.1违规情形</w:t>
      </w:r>
    </w:p>
    <w:p w14:paraId="6A4E85C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消费者存在以下行为之一的，构成违规：（1）恶意套取补贴，包括但不限于与商户串通虚构交易；（2）利用技术手段（包括但不限于修改设备信息、虚拟定位、自动化脚本等）重复享受优惠；（3）同一用户通过多个账号、多部设备等方式超出每日使用次数限制。</w:t>
      </w:r>
    </w:p>
    <w:p w14:paraId="1206E5B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2.2处理措施</w:t>
      </w:r>
    </w:p>
    <w:p w14:paraId="24059CC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活动方或第三方服务平台发现消费者存在上述违规情形的，有权采取以下措施：（1）取消该消费者本次活动的参与资格；（2）追回其已享受的优惠金额；（3）将其账号、设备、身份信息等列入活动黑名单，限制参与后续同类活动；（4）情节严重的，保留进一步追究民事或行政法律责任的权利。</w:t>
      </w:r>
    </w:p>
    <w:p w14:paraId="5001AFD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3.发放机构</w:t>
      </w:r>
    </w:p>
    <w:p w14:paraId="489AF4B4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如发放机构未按约定履行投放、结算、数据保存等义务，或存在与商户串通套取补贴等行为的，区商务局有权要求赔偿损失，并终止合作关系。</w:t>
      </w:r>
    </w:p>
    <w:p w14:paraId="4164408F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default" w:ascii="Times New Roman" w:hAnsi="Times New Roman" w:eastAsia="方正仿宋_GBK" w:cs="Times New Roman"/>
          <w:snapToGrid/>
          <w:color w:val="auto"/>
          <w:kern w:val="2"/>
          <w:sz w:val="32"/>
          <w:szCs w:val="32"/>
          <w:highlight w:val="none"/>
          <w:lang w:val="en-US" w:eastAsia="zh-CN"/>
        </w:rPr>
        <w:t>本方案由雨花台区商务局负责解释。活动期间如遇政策调整、系统故障或不可抗力，区商务局有权对活动规则作出补充说明，并提前通过活动页面或政府官网公告。</w:t>
      </w:r>
      <w:bookmarkStart w:id="0" w:name="_GoBack"/>
      <w:bookmarkEnd w:id="0"/>
    </w:p>
    <w:sectPr>
      <w:pgSz w:w="11906" w:h="16838"/>
      <w:pgMar w:top="2098" w:right="1587" w:bottom="1701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58B0E"/>
    <w:multiLevelType w:val="singleLevel"/>
    <w:tmpl w:val="E3C58B0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E3B67"/>
    <w:rsid w:val="2B6A6963"/>
    <w:rsid w:val="44AF29D9"/>
    <w:rsid w:val="5FE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styleId="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2026-07-31T06:31:00Z</dcterms:created>
  <dc:creator>Y</dc:creator>
  <cp:lastModifiedBy>Y</cp:lastModifiedBy>
  <dcterms:modified xsi:type="dcterms:W3CDTF">2026-07-31T06:32:07Z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CFCECE065CF148AE8D5F930935993901_11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